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Knowledge mobilization plan</w:t>
      </w:r>
    </w:p>
    <w:p>
      <w:pPr>
        <w:spacing w:line="240" w:lineRule="auto" w:before="60" w:after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792480"/>
            <wp:docPr id="1" name="Picture 1" descr="Purpose, audiences, activities and ev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2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Purpose and intended use</w:t>
      </w:r>
    </w:p>
    <w:p>
      <w:pPr>
        <w:keepLines/>
        <w:spacing w:after="160"/>
      </w:pPr>
      <w:r>
        <w:t xml:space="preserve">We will share findings on </w:t>
      </w:r>
      <w:r>
        <w:rPr>
          <w:color w:val="3F647A"/>
        </w:rPr>
        <w:t>[topic]</w:t>
      </w:r>
      <w:r>
        <w:t xml:space="preserve"> with </w:t>
      </w:r>
      <w:r>
        <w:rPr>
          <w:color w:val="3F647A"/>
        </w:rPr>
        <w:t>[named audiences]</w:t>
      </w:r>
      <w:r>
        <w:t xml:space="preserve"> to support </w:t>
      </w:r>
      <w:r>
        <w:rPr>
          <w:color w:val="3F647A"/>
        </w:rPr>
        <w:t>[specific decision, practice or public discussion]</w:t>
      </w:r>
      <w:r>
        <w:t xml:space="preserve">. By </w:t>
      </w:r>
      <w:r>
        <w:rPr>
          <w:color w:val="3F647A"/>
        </w:rPr>
        <w:t>[date]</w:t>
      </w:r>
      <w:r>
        <w:t xml:space="preserve">, we aim to </w:t>
      </w:r>
      <w:r>
        <w:rPr>
          <w:color w:val="3F647A"/>
        </w:rPr>
        <w:t>[realistic, measurable objective]</w:t>
      </w:r>
      <w:r>
        <w:t xml:space="preserve">. These audiences matter because </w:t>
      </w:r>
      <w:r>
        <w:rPr>
          <w:color w:val="3F647A"/>
        </w:rPr>
        <w:t>[connection to the research and its use]</w:t>
      </w:r>
      <w:r>
        <w:t>.</w:t>
      </w:r>
    </w:p>
    <w:p>
      <w:pPr>
        <w:keepNext/>
        <w:spacing w:after="40"/>
      </w:pPr>
      <w:r>
        <w:rPr>
          <w:b/>
        </w:rPr>
        <w:t>Academic audiences</w:t>
      </w:r>
    </w:p>
    <w:p>
      <w:pPr>
        <w:keepLines/>
        <w:spacing w:after="160"/>
      </w:pPr>
      <w:r/>
      <w:r>
        <w:rPr>
          <w:color w:val="3F647A"/>
        </w:rPr>
        <w:t>[Owner]</w:t>
      </w:r>
      <w:r>
        <w:t xml:space="preserve"> will prepare </w:t>
      </w:r>
      <w:r>
        <w:rPr>
          <w:color w:val="3F647A"/>
        </w:rPr>
        <w:t>[number]</w:t>
      </w:r>
      <w:r>
        <w:t xml:space="preserve"> open access articles for </w:t>
      </w:r>
      <w:r>
        <w:rPr>
          <w:color w:val="3F647A"/>
        </w:rPr>
        <w:t>[journals]</w:t>
      </w:r>
      <w:r>
        <w:t xml:space="preserve"> and present at </w:t>
      </w:r>
      <w:r>
        <w:rPr>
          <w:color w:val="3F647A"/>
        </w:rPr>
        <w:t>[conference, date]</w:t>
      </w:r>
      <w:r>
        <w:t xml:space="preserve">, chosen because </w:t>
      </w:r>
      <w:r>
        <w:rPr>
          <w:color w:val="3F647A"/>
        </w:rPr>
        <w:t>[relevance to the field]</w:t>
      </w:r>
      <w:r>
        <w:t xml:space="preserve">. We will share </w:t>
      </w:r>
      <w:r>
        <w:rPr>
          <w:color w:val="3F647A"/>
        </w:rPr>
        <w:t>[data or code, where appropriate]</w:t>
      </w:r>
      <w:r>
        <w:t xml:space="preserve"> through </w:t>
      </w:r>
      <w:r>
        <w:rPr>
          <w:color w:val="3F647A"/>
        </w:rPr>
        <w:t>[repository]</w:t>
      </w:r>
      <w:r>
        <w:t xml:space="preserve"> and invite feedback through </w:t>
      </w:r>
      <w:r>
        <w:rPr>
          <w:color w:val="3F647A"/>
        </w:rPr>
        <w:t>[channel]</w:t>
      </w:r>
      <w:r>
        <w:t>.</w:t>
      </w:r>
    </w:p>
    <w:p>
      <w:pPr>
        <w:keepNext/>
        <w:spacing w:after="40"/>
      </w:pPr>
      <w:r>
        <w:rPr>
          <w:b/>
        </w:rPr>
        <w:t>Policy and practice audiences</w:t>
      </w:r>
    </w:p>
    <w:p>
      <w:pPr>
        <w:keepLines/>
        <w:spacing w:after="160"/>
      </w:pPr>
      <w:r/>
      <w:r>
        <w:rPr>
          <w:color w:val="3F647A"/>
        </w:rPr>
        <w:t>[Owner and partner]</w:t>
      </w:r>
      <w:r>
        <w:t xml:space="preserve"> will work with </w:t>
      </w:r>
      <w:r>
        <w:rPr>
          <w:color w:val="3F647A"/>
        </w:rPr>
        <w:t>[named unit or professional group]</w:t>
      </w:r>
      <w:r>
        <w:t xml:space="preserve"> on </w:t>
      </w:r>
      <w:r>
        <w:rPr>
          <w:color w:val="3F647A"/>
        </w:rPr>
        <w:t>[decision or need]</w:t>
      </w:r>
      <w:r>
        <w:t xml:space="preserve">. At </w:t>
      </w:r>
      <w:r>
        <w:rPr>
          <w:color w:val="3F647A"/>
        </w:rPr>
        <w:t>[project stage]</w:t>
      </w:r>
      <w:r>
        <w:t xml:space="preserve">, we will provide </w:t>
      </w:r>
      <w:r>
        <w:rPr>
          <w:color w:val="3F647A"/>
        </w:rPr>
        <w:t>[brief, workshop or other output]</w:t>
      </w:r>
      <w:r>
        <w:t xml:space="preserve"> through </w:t>
      </w:r>
      <w:r>
        <w:rPr>
          <w:color w:val="3F647A"/>
        </w:rPr>
        <w:t>[trusted channel]</w:t>
      </w:r>
      <w:r>
        <w:t xml:space="preserve">. We will request </w:t>
      </w:r>
      <w:r>
        <w:rPr>
          <w:color w:val="3F647A"/>
        </w:rPr>
        <w:t>[specific feedback or follow-up]</w:t>
      </w:r>
      <w:r>
        <w:t xml:space="preserve"> to understand how the findings could be used.</w:t>
      </w:r>
    </w:p>
    <w:p>
      <w:pPr>
        <w:keepNext/>
        <w:spacing w:after="40"/>
      </w:pPr>
      <w:r>
        <w:rPr>
          <w:b/>
        </w:rPr>
        <w:t>Community and public audiences</w:t>
      </w:r>
    </w:p>
    <w:p>
      <w:pPr>
        <w:keepLines/>
        <w:spacing w:after="160"/>
      </w:pPr>
      <w:r/>
      <w:r>
        <w:rPr>
          <w:color w:val="3F647A"/>
        </w:rPr>
        <w:t>[Owner]</w:t>
      </w:r>
      <w:r>
        <w:t xml:space="preserve"> will prepare </w:t>
      </w:r>
      <w:r>
        <w:rPr>
          <w:color w:val="3F647A"/>
        </w:rPr>
        <w:t>[formats, such as a plain-language summary, video, audio or infographic]</w:t>
      </w:r>
      <w:r>
        <w:t xml:space="preserve"> for </w:t>
      </w:r>
      <w:r>
        <w:rPr>
          <w:color w:val="3F647A"/>
        </w:rPr>
        <w:t>[named community]</w:t>
      </w:r>
      <w:r>
        <w:t xml:space="preserve">. </w:t>
      </w:r>
      <w:r>
        <w:rPr>
          <w:color w:val="3F647A"/>
        </w:rPr>
        <w:t>[Partner or channel]</w:t>
      </w:r>
      <w:r>
        <w:t xml:space="preserve"> will distribute them at </w:t>
      </w:r>
      <w:r>
        <w:rPr>
          <w:color w:val="3F647A"/>
        </w:rPr>
        <w:t>[stage]</w:t>
      </w:r>
      <w:r>
        <w:t xml:space="preserve">. We chose these formats because </w:t>
      </w:r>
      <w:r>
        <w:rPr>
          <w:color w:val="3F647A"/>
        </w:rPr>
        <w:t>[audience preference or access need]</w:t>
      </w:r>
      <w:r>
        <w:t xml:space="preserve">, and will invite responses through </w:t>
      </w:r>
      <w:r>
        <w:rPr>
          <w:color w:val="3F647A"/>
        </w:rPr>
        <w:t>[method]</w:t>
      </w:r>
      <w:r>
        <w:t>.</w:t>
      </w:r>
    </w:p>
    <w:p>
      <w:pPr>
        <w:keepNext/>
        <w:spacing w:after="40"/>
      </w:pPr>
      <w:r>
        <w:rPr>
          <w:b/>
        </w:rPr>
        <w:t>Timing and delivery</w:t>
      </w:r>
    </w:p>
    <w:p>
      <w:pPr>
        <w:keepLines/>
        <w:spacing w:after="160"/>
      </w:pPr>
      <w:r>
        <w:t xml:space="preserve">Months </w:t>
      </w:r>
      <w:r>
        <w:rPr>
          <w:color w:val="3F647A"/>
        </w:rPr>
        <w:t>[x to y]</w:t>
      </w:r>
      <w:r>
        <w:t xml:space="preserve">: confirm audience priorities with </w:t>
      </w:r>
      <w:r>
        <w:rPr>
          <w:color w:val="3F647A"/>
        </w:rPr>
        <w:t>[partners]</w:t>
      </w:r>
      <w:r>
        <w:t xml:space="preserve">. Months </w:t>
      </w:r>
      <w:r>
        <w:rPr>
          <w:color w:val="3F647A"/>
        </w:rPr>
        <w:t>[x to y]</w:t>
      </w:r>
      <w:r>
        <w:t xml:space="preserve">: prepare and share findings as they become available. By </w:t>
      </w:r>
      <w:r>
        <w:rPr>
          <w:color w:val="3F647A"/>
        </w:rPr>
        <w:t>[date]</w:t>
      </w:r>
      <w:r>
        <w:t xml:space="preserve">: review feedback and deliver </w:t>
      </w:r>
      <w:r>
        <w:rPr>
          <w:color w:val="3F647A"/>
        </w:rPr>
        <w:t>[synthesis or final activity]</w:t>
      </w:r>
      <w:r>
        <w:t xml:space="preserve">. </w:t>
      </w:r>
      <w:r>
        <w:rPr>
          <w:color w:val="3F647A"/>
        </w:rPr>
        <w:t>[Lead]</w:t>
      </w:r>
      <w:r>
        <w:t xml:space="preserve"> coordinates delivery; </w:t>
      </w:r>
      <w:r>
        <w:rPr>
          <w:color w:val="3F647A"/>
        </w:rPr>
        <w:t>[students]</w:t>
      </w:r>
      <w:r>
        <w:t xml:space="preserve"> develop </w:t>
      </w:r>
      <w:r>
        <w:rPr>
          <w:color w:val="3F647A"/>
        </w:rPr>
        <w:t>[skills and outputs]</w:t>
      </w:r>
      <w:r>
        <w:t xml:space="preserve"> with </w:t>
      </w:r>
      <w:r>
        <w:rPr>
          <w:color w:val="3F647A"/>
        </w:rPr>
        <w:t>[supervisor]</w:t>
      </w:r>
      <w:r>
        <w:t>.</w:t>
      </w:r>
    </w:p>
    <w:p>
      <w:pPr>
        <w:keepNext/>
        <w:spacing w:after="40"/>
      </w:pPr>
      <w:r>
        <w:rPr>
          <w:b/>
        </w:rPr>
        <w:t>Costs and resources</w:t>
      </w:r>
    </w:p>
    <w:p>
      <w:pPr>
        <w:keepLines/>
        <w:spacing w:after="160"/>
      </w:pPr>
      <w:r>
        <w:t>The budget allocates $</w:t>
      </w:r>
      <w:r>
        <w:rPr>
          <w:color w:val="3F647A"/>
        </w:rPr>
        <w:t>[amount]</w:t>
      </w:r>
      <w:r>
        <w:t xml:space="preserve"> for </w:t>
      </w:r>
      <w:r>
        <w:rPr>
          <w:color w:val="3F647A"/>
        </w:rPr>
        <w:t>[activity, quantity and unit cost]</w:t>
      </w:r>
      <w:r>
        <w:t>, $</w:t>
      </w:r>
      <w:r>
        <w:rPr>
          <w:color w:val="3F647A"/>
        </w:rPr>
        <w:t>[amount]</w:t>
      </w:r>
      <w:r>
        <w:t xml:space="preserve"> for </w:t>
      </w:r>
      <w:r>
        <w:rPr>
          <w:color w:val="3F647A"/>
        </w:rPr>
        <w:t>[translation or accessibility]</w:t>
      </w:r>
      <w:r>
        <w:t>, and $</w:t>
      </w:r>
      <w:r>
        <w:rPr>
          <w:color w:val="3F647A"/>
        </w:rPr>
        <w:t>[amount]</w:t>
      </w:r>
      <w:r>
        <w:t xml:space="preserve"> for </w:t>
      </w:r>
      <w:r>
        <w:rPr>
          <w:color w:val="3F647A"/>
        </w:rPr>
        <w:t>[distribution, events or hosting]</w:t>
      </w:r>
      <w:r>
        <w:t xml:space="preserve">. </w:t>
      </w:r>
      <w:r>
        <w:rPr>
          <w:color w:val="3F647A"/>
        </w:rPr>
        <w:t>[Partner]</w:t>
      </w:r>
      <w:r>
        <w:t xml:space="preserve"> contributes </w:t>
      </w:r>
      <w:r>
        <w:rPr>
          <w:color w:val="3F647A"/>
        </w:rPr>
        <w:t>[confirmed in-kind support]</w:t>
      </w:r>
      <w:r>
        <w:t>. Each selected activity has a cost or named existing resource, an owner and a matching budget justification.</w:t>
      </w:r>
    </w:p>
    <w:p>
      <w:pPr>
        <w:keepNext/>
        <w:spacing w:after="40"/>
      </w:pPr>
      <w:r>
        <w:rPr>
          <w:b/>
        </w:rPr>
        <w:t>Evidence of reach and use</w:t>
      </w:r>
    </w:p>
    <w:p>
      <w:pPr>
        <w:keepLines/>
        <w:spacing w:after="160"/>
      </w:pPr>
      <w:r/>
      <w:r>
        <w:rPr>
          <w:color w:val="3F647A"/>
        </w:rPr>
        <w:t>[Owner]</w:t>
      </w:r>
      <w:r>
        <w:t xml:space="preserve"> will record </w:t>
      </w:r>
      <w:r>
        <w:rPr>
          <w:color w:val="3F647A"/>
        </w:rPr>
        <w:t>[outputs delivered]</w:t>
      </w:r>
      <w:r>
        <w:t xml:space="preserve"> and </w:t>
      </w:r>
      <w:r>
        <w:rPr>
          <w:color w:val="3F647A"/>
        </w:rPr>
        <w:t>[audience reach, such as attendance or downloads]</w:t>
      </w:r>
      <w:r>
        <w:t xml:space="preserve"> at </w:t>
      </w:r>
      <w:r>
        <w:rPr>
          <w:color w:val="3F647A"/>
        </w:rPr>
        <w:t>[intervals]</w:t>
      </w:r>
      <w:r>
        <w:t xml:space="preserve">. To assess use, we will seek </w:t>
      </w:r>
      <w:r>
        <w:rPr>
          <w:color w:val="3F647A"/>
        </w:rPr>
        <w:t>[feedback, requests for follow-up or documented uptake]</w:t>
      </w:r>
      <w:r>
        <w:t xml:space="preserve"> from </w:t>
      </w:r>
      <w:r>
        <w:rPr>
          <w:color w:val="3F647A"/>
        </w:rPr>
        <w:t>[audience]</w:t>
      </w:r>
      <w:r>
        <w:t xml:space="preserve"> by </w:t>
      </w:r>
      <w:r>
        <w:rPr>
          <w:color w:val="3F647A"/>
        </w:rPr>
        <w:t>[date]</w:t>
      </w:r>
      <w:r>
        <w:t xml:space="preserve">. We will compare results with </w:t>
      </w:r>
      <w:r>
        <w:rPr>
          <w:color w:val="3F647A"/>
        </w:rPr>
        <w:t>[targets]</w:t>
      </w:r>
      <w:r>
        <w:t xml:space="preserve"> and adjust </w:t>
      </w:r>
      <w:r>
        <w:rPr>
          <w:color w:val="3F647A"/>
        </w:rPr>
        <w:t>[activities]</w:t>
      </w:r>
      <w:r>
        <w:t xml:space="preserve"> where needed.</w:t>
      </w:r>
    </w:p>
    <w:p>
      <w:pPr>
        <w:keepNext/>
        <w:spacing w:after="40"/>
      </w:pPr>
      <w:r>
        <w:rPr>
          <w:b/>
        </w:rPr>
        <w:t>Access and sustainability</w:t>
      </w:r>
    </w:p>
    <w:p>
      <w:pPr>
        <w:keepLines/>
        <w:spacing w:after="160"/>
      </w:pPr>
      <w:r>
        <w:t xml:space="preserve">We will provide </w:t>
      </w:r>
      <w:r>
        <w:rPr>
          <w:color w:val="3F647A"/>
        </w:rPr>
        <w:t>[languages and accessible formats]</w:t>
      </w:r>
      <w:r>
        <w:t xml:space="preserve"> suited to </w:t>
      </w:r>
      <w:r>
        <w:rPr>
          <w:color w:val="3F647A"/>
        </w:rPr>
        <w:t>[audiences]</w:t>
      </w:r>
      <w:r>
        <w:t xml:space="preserve">, with </w:t>
      </w:r>
      <w:r>
        <w:rPr>
          <w:color w:val="3F647A"/>
        </w:rPr>
        <w:t>[owner]</w:t>
      </w:r>
      <w:r>
        <w:t xml:space="preserve"> checking accuracy and access. Dissemination will respect consent and confidentiality. </w:t>
      </w:r>
      <w:r>
        <w:rPr>
          <w:color w:val="3F647A"/>
        </w:rPr>
        <w:t>[Unit]</w:t>
      </w:r>
      <w:r>
        <w:t xml:space="preserve"> will maintain </w:t>
      </w:r>
      <w:r>
        <w:rPr>
          <w:color w:val="3F647A"/>
        </w:rPr>
        <w:t>[materials and links]</w:t>
      </w:r>
      <w:r>
        <w:t xml:space="preserve"> at </w:t>
      </w:r>
      <w:r>
        <w:rPr>
          <w:color w:val="3F647A"/>
        </w:rPr>
        <w:t>[location]</w:t>
      </w:r>
      <w:r>
        <w:t xml:space="preserve"> for </w:t>
      </w:r>
      <w:r>
        <w:rPr>
          <w:color w:val="3F647A"/>
        </w:rPr>
        <w:t>[period]</w:t>
      </w:r>
      <w:r>
        <w:t xml:space="preserve">, using </w:t>
      </w:r>
      <w:r>
        <w:rPr>
          <w:color w:val="3F647A"/>
        </w:rPr>
        <w:t>[confirmed resource]</w:t>
      </w:r>
      <w:r>
        <w:t>. We will follow the applicable open access policy.</w:t>
      </w:r>
    </w:p>
    <w:p>
      <w:pPr>
        <w:pStyle w:val="Title"/>
        <w:pageBreakBefore/>
      </w:pPr>
      <w:r>
        <w:t>Complete and check your plan</w:t>
      </w:r>
    </w:p>
    <w:p>
      <w:r>
        <w:t>Page one is an editable Insight Grant draft. Replace every blue bracketed prompt, keep only relevant activities, and confirm partner roles and resources. Submit only the completed plan page as a PDF, after checking your competition's current requirements. These notes are for preparation.</w:t>
      </w:r>
    </w:p>
    <w:p>
      <w:pPr>
        <w:pStyle w:val="Heading1"/>
        <w:spacing w:line="276" w:lineRule="auto"/>
      </w:pPr>
      <w:r>
        <w:drawing>
          <wp:inline xmlns:a="http://schemas.openxmlformats.org/drawingml/2006/main" xmlns:pic="http://schemas.openxmlformats.org/drawingml/2006/picture">
            <wp:extent cx="246888" cy="246888"/>
            <wp:docPr id="2" name="Picture 2" descr="Activiti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24688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Insight Development Grant version</w:t>
      </w:r>
    </w:p>
    <w:p>
      <w:r>
        <w:t>The draft below is 1,216 characters including spaces. Replace the brackets, then check the final count against the 2,000-character limit. Keep it consistent with your separate timelines attachment.</w:t>
      </w:r>
    </w:p>
    <w:p>
      <w:r>
        <w:t xml:space="preserve">We will share findings on </w:t>
      </w:r>
      <w:r>
        <w:rPr>
          <w:color w:val="3F647A"/>
        </w:rPr>
        <w:t>[topic]</w:t>
      </w:r>
      <w:r>
        <w:t xml:space="preserve"> with </w:t>
      </w:r>
      <w:r>
        <w:rPr>
          <w:color w:val="3F647A"/>
        </w:rPr>
        <w:t>[audiences]</w:t>
      </w:r>
      <w:r>
        <w:t xml:space="preserve"> to support </w:t>
      </w:r>
      <w:r>
        <w:rPr>
          <w:color w:val="3F647A"/>
        </w:rPr>
        <w:t>[decision or practice]</w:t>
      </w:r>
      <w:r>
        <w:t xml:space="preserve"> by </w:t>
      </w:r>
      <w:r>
        <w:rPr>
          <w:color w:val="3F647A"/>
        </w:rPr>
        <w:t>[date]</w:t>
      </w:r>
      <w:r>
        <w:t xml:space="preserve">. Researchers: </w:t>
      </w:r>
      <w:r>
        <w:rPr>
          <w:color w:val="3F647A"/>
        </w:rPr>
        <w:t>[number]</w:t>
      </w:r>
      <w:r>
        <w:t xml:space="preserve"> open access articles in </w:t>
      </w:r>
      <w:r>
        <w:rPr>
          <w:color w:val="3F647A"/>
        </w:rPr>
        <w:t>[journals]</w:t>
      </w:r>
      <w:r>
        <w:t xml:space="preserve"> and a presentation at </w:t>
      </w:r>
      <w:r>
        <w:rPr>
          <w:color w:val="3F647A"/>
        </w:rPr>
        <w:t>[conference, date]</w:t>
      </w:r>
      <w:r>
        <w:t xml:space="preserve">, led by </w:t>
      </w:r>
      <w:r>
        <w:rPr>
          <w:color w:val="3F647A"/>
        </w:rPr>
        <w:t>[owner]</w:t>
      </w:r>
      <w:r>
        <w:t xml:space="preserve">. </w:t>
      </w:r>
      <w:r>
        <w:rPr>
          <w:color w:val="3F647A"/>
        </w:rPr>
        <w:t>[Named policy or practice group]</w:t>
      </w:r>
      <w:r>
        <w:t xml:space="preserve">: </w:t>
      </w:r>
      <w:r>
        <w:rPr>
          <w:color w:val="3F647A"/>
        </w:rPr>
        <w:t>[brief or workshop]</w:t>
      </w:r>
      <w:r>
        <w:t xml:space="preserve"> at </w:t>
      </w:r>
      <w:r>
        <w:rPr>
          <w:color w:val="3F647A"/>
        </w:rPr>
        <w:t>[stage]</w:t>
      </w:r>
      <w:r>
        <w:t xml:space="preserve">, delivered with </w:t>
      </w:r>
      <w:r>
        <w:rPr>
          <w:color w:val="3F647A"/>
        </w:rPr>
        <w:t>[partner]</w:t>
      </w:r>
      <w:r>
        <w:t xml:space="preserve"> through </w:t>
      </w:r>
      <w:r>
        <w:rPr>
          <w:color w:val="3F647A"/>
        </w:rPr>
        <w:t>[channel]</w:t>
      </w:r>
      <w:r>
        <w:t xml:space="preserve"> because </w:t>
      </w:r>
      <w:r>
        <w:rPr>
          <w:color w:val="3F647A"/>
        </w:rPr>
        <w:t>[audience need]</w:t>
      </w:r>
      <w:r>
        <w:t xml:space="preserve">. We will seek </w:t>
      </w:r>
      <w:r>
        <w:rPr>
          <w:color w:val="3F647A"/>
        </w:rPr>
        <w:t>[feedback or follow-up]</w:t>
      </w:r>
      <w:r>
        <w:t xml:space="preserve">. </w:t>
      </w:r>
      <w:r>
        <w:rPr>
          <w:color w:val="3F647A"/>
        </w:rPr>
        <w:t>[Community]</w:t>
      </w:r>
      <w:r>
        <w:t xml:space="preserve">: </w:t>
      </w:r>
      <w:r>
        <w:rPr>
          <w:color w:val="3F647A"/>
        </w:rPr>
        <w:t>[plain-language summary, video, audio or infographic]</w:t>
      </w:r>
      <w:r>
        <w:t xml:space="preserve"> through </w:t>
      </w:r>
      <w:r>
        <w:rPr>
          <w:color w:val="3F647A"/>
        </w:rPr>
        <w:t>[trusted channel]</w:t>
      </w:r>
      <w:r>
        <w:t xml:space="preserve">, in </w:t>
      </w:r>
      <w:r>
        <w:rPr>
          <w:color w:val="3F647A"/>
        </w:rPr>
        <w:t>[languages and accessible formats]</w:t>
      </w:r>
      <w:r>
        <w:t xml:space="preserve">. Months </w:t>
      </w:r>
      <w:r>
        <w:rPr>
          <w:color w:val="3F647A"/>
        </w:rPr>
        <w:t>[x to y]</w:t>
      </w:r>
      <w:r>
        <w:t xml:space="preserve">: confirm priorities; </w:t>
      </w:r>
      <w:r>
        <w:rPr>
          <w:color w:val="3F647A"/>
        </w:rPr>
        <w:t>[x to y]</w:t>
      </w:r>
      <w:r>
        <w:t xml:space="preserve">: share emerging findings; by </w:t>
      </w:r>
      <w:r>
        <w:rPr>
          <w:color w:val="3F647A"/>
        </w:rPr>
        <w:t>[date]</w:t>
      </w:r>
      <w:r>
        <w:t xml:space="preserve">: review feedback and deliver </w:t>
      </w:r>
      <w:r>
        <w:rPr>
          <w:color w:val="3F647A"/>
        </w:rPr>
        <w:t>[final output]</w:t>
      </w:r>
      <w:r>
        <w:t xml:space="preserve">. The timelines attachment gives the schedule. </w:t>
      </w:r>
      <w:r>
        <w:rPr>
          <w:color w:val="3F647A"/>
        </w:rPr>
        <w:t>[Lead]</w:t>
      </w:r>
      <w:r>
        <w:t xml:space="preserve"> coordinates delivery; </w:t>
      </w:r>
      <w:r>
        <w:rPr>
          <w:color w:val="3F647A"/>
        </w:rPr>
        <w:t>[students]</w:t>
      </w:r>
      <w:r>
        <w:t xml:space="preserve"> produce </w:t>
      </w:r>
      <w:r>
        <w:rPr>
          <w:color w:val="3F647A"/>
        </w:rPr>
        <w:t>[outputs]</w:t>
      </w:r>
      <w:r>
        <w:t xml:space="preserve"> with </w:t>
      </w:r>
      <w:r>
        <w:rPr>
          <w:color w:val="3F647A"/>
        </w:rPr>
        <w:t>[supervision]</w:t>
      </w:r>
      <w:r>
        <w:t xml:space="preserve">. The budget justifies </w:t>
      </w:r>
      <w:r>
        <w:rPr>
          <w:color w:val="3F647A"/>
        </w:rPr>
        <w:t>[quantities and costs]</w:t>
      </w:r>
      <w:r>
        <w:t xml:space="preserve"> for production, access and distribution; </w:t>
      </w:r>
      <w:r>
        <w:rPr>
          <w:color w:val="3F647A"/>
        </w:rPr>
        <w:t>[partner]</w:t>
      </w:r>
      <w:r>
        <w:t xml:space="preserve"> provides </w:t>
      </w:r>
      <w:r>
        <w:rPr>
          <w:color w:val="3F647A"/>
        </w:rPr>
        <w:t>[confirmed in-kind support]</w:t>
      </w:r>
      <w:r>
        <w:t xml:space="preserve">. </w:t>
      </w:r>
      <w:r>
        <w:rPr>
          <w:color w:val="3F647A"/>
        </w:rPr>
        <w:t>[Owner]</w:t>
      </w:r>
      <w:r>
        <w:t xml:space="preserve"> will record outputs and </w:t>
      </w:r>
      <w:r>
        <w:rPr>
          <w:color w:val="3F647A"/>
        </w:rPr>
        <w:t>[reach measure]</w:t>
      </w:r>
      <w:r>
        <w:t xml:space="preserve">, and assess </w:t>
      </w:r>
      <w:r>
        <w:rPr>
          <w:color w:val="3F647A"/>
        </w:rPr>
        <w:t>[evidence of use]</w:t>
      </w:r>
      <w:r>
        <w:t xml:space="preserve"> against </w:t>
      </w:r>
      <w:r>
        <w:rPr>
          <w:color w:val="3F647A"/>
        </w:rPr>
        <w:t>[target]</w:t>
      </w:r>
      <w:r>
        <w:t xml:space="preserve"> at </w:t>
      </w:r>
      <w:r>
        <w:rPr>
          <w:color w:val="3F647A"/>
        </w:rPr>
        <w:t>[intervals]</w:t>
      </w:r>
      <w:r>
        <w:t xml:space="preserve">. We will adapt </w:t>
      </w:r>
      <w:r>
        <w:rPr>
          <w:color w:val="3F647A"/>
        </w:rPr>
        <w:t>[activities]</w:t>
      </w:r>
      <w:r>
        <w:t xml:space="preserve"> in response. </w:t>
      </w:r>
      <w:r>
        <w:rPr>
          <w:color w:val="3F647A"/>
        </w:rPr>
        <w:t>[Unit]</w:t>
      </w:r>
      <w:r>
        <w:t xml:space="preserve"> will maintain materials at </w:t>
      </w:r>
      <w:r>
        <w:rPr>
          <w:color w:val="3F647A"/>
        </w:rPr>
        <w:t>[location]</w:t>
      </w:r>
      <w:r>
        <w:t xml:space="preserve"> for </w:t>
      </w:r>
      <w:r>
        <w:rPr>
          <w:color w:val="3F647A"/>
        </w:rPr>
        <w:t>[period]</w:t>
      </w:r>
      <w:r>
        <w:t xml:space="preserve"> using </w:t>
      </w:r>
      <w:r>
        <w:rPr>
          <w:color w:val="3F647A"/>
        </w:rPr>
        <w:t>[resource]</w:t>
      </w:r>
      <w:r>
        <w:t>. Dissemination will respect consent, confidentiality and the applicable open access policy.</w:t>
      </w:r>
    </w:p>
    <w:p>
      <w:pPr>
        <w:pStyle w:val="Heading1"/>
        <w:spacing w:line="276" w:lineRule="auto"/>
      </w:pPr>
      <w:r>
        <w:drawing>
          <wp:inline xmlns:a="http://schemas.openxmlformats.org/drawingml/2006/main" xmlns:pic="http://schemas.openxmlformats.org/drawingml/2006/picture">
            <wp:extent cx="246888" cy="246888"/>
            <wp:docPr id="3" name="Picture 3" descr="Ev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24688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Before you submit</w:t>
      </w:r>
    </w:p>
    <w:p>
      <w:pPr>
        <w:pStyle w:val="ListBullet"/>
        <w:spacing w:after="60"/>
      </w:pPr>
      <w:r>
        <w:t>Name audiences, the decision or need, and why each activity suits them.</w:t>
      </w:r>
    </w:p>
    <w:p>
      <w:pPr>
        <w:pStyle w:val="ListBullet"/>
        <w:spacing w:after="60"/>
      </w:pPr>
      <w:r>
        <w:t>Give each activity an owner, timing, cost or existing resource, and budget justification.</w:t>
      </w:r>
    </w:p>
    <w:p>
      <w:pPr>
        <w:pStyle w:val="ListBullet"/>
        <w:spacing w:after="60"/>
      </w:pPr>
      <w:r>
        <w:t>Separate outputs and reach from evidence of use. Choose realistic targets and a follow-up method.</w:t>
      </w:r>
    </w:p>
    <w:p>
      <w:pPr>
        <w:pStyle w:val="ListBullet"/>
        <w:spacing w:after="60"/>
      </w:pPr>
      <w:r>
        <w:t>Confirm language, accessibility, consent and maintenance arrangements with the people responsible.</w:t>
      </w:r>
    </w:p>
    <w:p>
      <w:pPr>
        <w:pStyle w:val="ListBullet"/>
        <w:spacing w:after="60"/>
      </w:pPr>
      <w:r>
        <w:t>Remove brackets and preparation notes. Recheck the page or character limit after editing; keep the plan consistent with your budget, expected outcomes and timeline.</w:t>
      </w:r>
    </w:p>
    <w:p>
      <w:pPr>
        <w:pStyle w:val="Heading1"/>
        <w:spacing w:line="276" w:lineRule="auto"/>
      </w:pPr>
      <w:r>
        <w:drawing>
          <wp:inline xmlns:a="http://schemas.openxmlformats.org/drawingml/2006/main" xmlns:pic="http://schemas.openxmlformats.org/drawingml/2006/picture">
            <wp:extent cx="246888" cy="246888"/>
            <wp:docPr id="4" name="Picture 4" descr="Purpos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24688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Instructions and guidance</w:t>
      </w:r>
    </w:p>
    <w:p>
      <w:r>
        <w:t xml:space="preserve">Limits checked against the 2026 instructions. Verify your own competition before submission: </w:t>
      </w:r>
      <w:hyperlink r:id="rId13">
        <w:r>
          <w:rPr>
            <w:rStyle w:val="Hyperlink"/>
          </w:rPr>
          <w:t>Insight Grants</w:t>
        </w:r>
      </w:hyperlink>
      <w:r>
        <w:t xml:space="preserve">; </w:t>
      </w:r>
      <w:hyperlink r:id="rId14">
        <w:r>
          <w:rPr>
            <w:rStyle w:val="Hyperlink"/>
          </w:rPr>
          <w:t>Insight Development Grants</w:t>
        </w:r>
      </w:hyperlink>
      <w:r>
        <w:t xml:space="preserve">; </w:t>
      </w:r>
      <w:hyperlink r:id="rId15">
        <w:r>
          <w:rPr>
            <w:rStyle w:val="Hyperlink"/>
          </w:rPr>
          <w:t>SSHRC knowledge mobilization guidance</w:t>
        </w:r>
      </w:hyperlink>
      <w:r>
        <w:t>.</w:t>
      </w:r>
    </w:p>
    <w:p>
      <w:r>
        <w:t xml:space="preserve">Prepared by Amplify by ResearchBunny, October 2026. </w:t>
      </w:r>
      <w:hyperlink r:id="rId16">
        <w:r>
          <w:rPr>
            <w:rStyle w:val="Hyperlink"/>
          </w:rPr>
          <w:t>Read the accompanying guide</w:t>
        </w:r>
      </w:hyperlink>
      <w:r>
        <w:t>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80" w:lineRule="exact"/>
      <w:outlineLvl w:val="0"/>
    </w:pPr>
    <w:rPr>
      <w:rFonts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80" w:lineRule="exact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460" w:lineRule="exact"/>
      <w:contextualSpacing/>
    </w:pPr>
    <w:rPr>
      <w:rFonts w:ascii="Times New Roman" w:hAnsi="Times New Roman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0" w:lineRule="exact" w:after="120"/>
    </w:pPr>
    <w:rPr>
      <w:rFonts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80" w:lineRule="exact" w:after="120"/>
      <w:contextualSpacing/>
    </w:pPr>
    <w:rPr>
      <w:rFonts w:ascii="Times New Roman" w:hAnsi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245A81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s://sshrc-crsh.canada.ca/en/funding/opportunities/insight-grants/2026/competition/instructions/applicant.aspx" TargetMode="External"/><Relationship Id="rId14" Type="http://schemas.openxmlformats.org/officeDocument/2006/relationships/hyperlink" Target="https://sshrc-crsh.canada.ca/en/funding/opportunities/insight-development-grants/2026/competition/instructions/applicant.aspx" TargetMode="External"/><Relationship Id="rId15" Type="http://schemas.openxmlformats.org/officeDocument/2006/relationships/hyperlink" Target="https://sshrc-crsh.canada.ca/en/funding/policies-regulations-and-guidelines/guidelines-effective-knowledge-mobilization.aspx" TargetMode="External"/><Relationship Id="rId16" Type="http://schemas.openxmlformats.org/officeDocument/2006/relationships/hyperlink" Target="https://www.researchamplify.com/blog/sshrc-knowledge-mobilization-plan-exam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mobilization plan</dc:title>
  <dc:subject>Editable SSHRC Insight Grant and Insight Development Grant templates</dc:subject>
  <dc:creator>ResearchBunny</dc:creator>
  <cp:keywords/>
  <dc:description/>
  <cp:lastModifiedBy>ResearchBunny</cp:lastModifiedBy>
  <cp:revision>1</cp:revision>
  <dcterms:created xsi:type="dcterms:W3CDTF">2013-12-23T23:15:00Z</dcterms:created>
  <dcterms:modified xsi:type="dcterms:W3CDTF">2013-12-23T23:15:00Z</dcterms:modified>
  <cp:category/>
</cp:coreProperties>
</file>